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8B2" w:rsidRDefault="005108B2" w:rsidP="005108B2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5108B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Obrazloženje općeg dijela </w:t>
      </w:r>
      <w:r w:rsidR="00E822C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F</w:t>
      </w:r>
      <w:r w:rsidRPr="005108B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inancijskog plana za razdoblje </w:t>
      </w:r>
    </w:p>
    <w:p w:rsidR="005108B2" w:rsidRPr="005108B2" w:rsidRDefault="005108B2" w:rsidP="005108B2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5108B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od 2025. – 2027. godine</w:t>
      </w:r>
    </w:p>
    <w:p w:rsidR="001E7914" w:rsidRDefault="001E7914" w:rsidP="00432729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F391D" w:rsidRPr="005108B2" w:rsidRDefault="004E4168" w:rsidP="00432729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Ukupno planirani prihodi u 2025. godini iznose 358.184.360 eura, a odnose se na prihode iz nadležnog proračuna za financiranje redovne djelatnosti koji se ostvaruju se iz izvora 11- Opći prihodi i primici u iznosu 163.428.436 eura, što čini 45,6% od ukupnog proračuna ministarstva. Zatim, prihodi od pomoći iz inozemstva (darovnice) i od subjekata unutar općeg proračuna iznose 115.422.870 eura, što čini 32,2% od ukupnog proračuna ministarstva. Navedeni prihodi planirani su unutar izvora 51 - Pomoći EU u iznosu od 13.272 eura, 52- Ostale pomoći u iznosu od 1.725 eura, 55 -Refundacije iz pomoći EU u iznosu od 310.329 eura, 56 - Fondovi EU u iznosu od 25.903.956 eura te 58 - Instrumenti EU nove generacije u iznosu od 89.193.588 eura.</w:t>
      </w:r>
    </w:p>
    <w:p w:rsidR="008B02B3" w:rsidRPr="005108B2" w:rsidRDefault="004E4168" w:rsidP="00432729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Najveći dio planiranih prihoda odnosi se na izvor 581 - Mehanizam za oporavak i otpornost koji su planirani za provedbu Nacionalnog plana oporavka i otpornosti </w:t>
      </w:r>
      <w:proofErr w:type="spellStart"/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Podkomponenta</w:t>
      </w:r>
      <w:proofErr w:type="spellEnd"/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1.6 Razvoj održivog, inovativnog i otpornog turizma. Zatim, veliki udio planiranih prihoda odnosi se na 56 - Fondovi EU u iznosu od 25.903.956 eura, unutar izvora 561- Europski socijalni fond (ESF) i 563 Europski fond za regionalni razvoj (EFRR) za projekte: Poboljšanje pristupa ranjivih skupina tržištu rada u sektoru turizma i ugostiteljstva II, Uspostava regionalnih centara kompetencija za strukovno obrazovanje u turizmu i ugostiteljstvu, Hrvatski digitalni turizam – e-Turizam, Projekt tehnička pomoć, Projekt uključivanje djece i mladih u riziku od socijalne isključenosti u sport, Projekt jačanje kapaciteta u sportu osoba s invaliditetom, te projekt Podrška upravljanju strategijom EU za Jadransku i Jonsku regiju (EUSAIR). </w:t>
      </w:r>
    </w:p>
    <w:p w:rsidR="004E4168" w:rsidRPr="005108B2" w:rsidRDefault="004E4168" w:rsidP="00432729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 projekcijama za 202</w:t>
      </w:r>
      <w:r w:rsidR="008B02B3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</w:t>
      </w: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godinu iskazana su povećanja planiranih prihoda unutar izvora 58 - Instrumenti EU nove generacije u iznosu od 73.711.143 eura što čini 21,17 % od ukupno planiranih prihoda, a odnosi se na izvor 581 - Mehanizam za oporavak i otpornost za provedbu: 1. Reforme C1.6 R1 Povećanje otpornosti i konkurentnosti turističkog gospodarstva, 2. Investicije C1.6. R1-I1 Regionalna diversifikacija i specijalizacija hrvatskog turizma kroz ulaganja u razvoj turističkih proizvoda visoke dodane vrijednosti, 3. Investicije C1.6. R1-I2 , Jačanje konkurentnosti poduzetnika te poticanje zelene i digitalne tranzicije sektora turizma 4. Investicije C1.6. R1-I3 Unaprjeđenje turističkog eko sustava i jačanje kapaciteta sustava za otporan i održiv turizam 5. Investicija C2.3 R3-I16 Digitalizacija procesa u sportu i rekreaciji na lokalnoj i regionalnoj razini 6.Investicija C2.3 R3-I15 Uspostava aplikativnih rješenja u turizmu Prihodi za posebne namjene iznose 26.082.952 eura, što ukupno čini 7,28 % od ukupnog proračuna ministarstva, odnose se na prihode ostvarene iz izvora 43 – Ostali prihodi za posebne namjene Fond za turizam, ostvarenih iz zakupa turističkog zemljišta u vlasništvu Republike Hrvatske a koriste se za ulaganja u razvoj turističke infrastrukture s ciljem razvoja turističke infrastrukture i očuvanja turističke resursne osnove. Zatim, izvor 41 - prihodi od igara na sreću planirani u iznosu 51.390.430 eura, što čini 14,35% od ukupnog proračuna ministarstva, odnosi na provedbu sufinanciranja dijela programa javnih potreba u sportu državne razine koji se provode putem Hrvatskog olimpijskog odbora (HOO), Hrvatskog </w:t>
      </w:r>
      <w:proofErr w:type="spellStart"/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paraolimpijskog</w:t>
      </w:r>
      <w:proofErr w:type="spellEnd"/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odbora (HPO), Hrvatskog sportskog saveza gluhih (HSSG), Hrvatskog akademskog sportskog saveza (HASS) i Hrvatskog školskog sportskog saveza (HŠSS). </w:t>
      </w:r>
    </w:p>
    <w:p w:rsidR="008B02B3" w:rsidRPr="005108B2" w:rsidRDefault="004E4168" w:rsidP="00432729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Ukupno planirani rashodi</w:t>
      </w:r>
      <w:r w:rsidR="008B02B3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 izdaci</w:t>
      </w: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 2025. godini iznose 358.184.360 eura. Rashodi za zaposlene čine oko 2,64% ukupnih rashoda. Trenutno poslove i aktivnosti iz djelokruga ministarstva </w:t>
      </w: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obavlja 73 rukovodeća službenika, 113 službenika i 4 namještenika. Najveći dio rashoda u iznosu od 137.234.438 eura, što ukupno čini 38,31% od ukupnog proračuna ministarstva odnosi se na grupu konta 36 - Pomoći dane u inozemstvo i unutar općeg proračuna, na kojima se evidentiraju plaćanja prema korisnicima vezana za EU projekte koje provodi ministarstvo. Zatim, rashodi unutar skupine konta 38 - Ostali rashodi čine 33,18% ukupnog proračuna a odnose se na ugovorne obveze prema neprofitnim organizacijama. </w:t>
      </w:r>
    </w:p>
    <w:p w:rsidR="004E4168" w:rsidRPr="005108B2" w:rsidRDefault="004E4168" w:rsidP="00432729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Izdaci za financijsku imovinu i otplate zajmova iznose 19.813.233 eura. Program konkurentnost i kohezija 2021.-2027. provest će se u okviru Kohezijske politike (KP) Europske unije (EU) kroz cilj ulaganja u radna mjesta i rast, te će pridonijeti ispunjenju ciljeva politike 1 do 4 definiranih u članku 5. Uredbe (EU) 2021/1060 Europskog parlamenta i Vijeća. Planirana sredstva će se transferirati HBOR-u za isplatu kredita trgovačkih društvima, odnosno za dodjeljivanje zajmova. </w:t>
      </w:r>
    </w:p>
    <w:p w:rsidR="004E4168" w:rsidRPr="005108B2" w:rsidRDefault="004E4168" w:rsidP="00432729">
      <w:pPr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Prijenos sredstva iz prethodne godine odnose se na neutrošene prihode od igra na sreću izvor 41 u iznosu od </w:t>
      </w:r>
      <w:r w:rsidR="0009179D" w:rsidRPr="005108B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9.463.739,54</w:t>
      </w:r>
      <w:r w:rsidR="0009179D" w:rsidRPr="005108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eura, prihod od zakupa turističkog zemljišta izvor 43 u iznosu od </w:t>
      </w:r>
      <w:r w:rsidR="0009179D" w:rsidRPr="005108B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25.205.135,03</w:t>
      </w:r>
      <w:r w:rsidR="0009179D" w:rsidRPr="005108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eura te ostale pomoći izvor 52 u iznosu od 5.398 eura. Sredstva će se utrošiti za provedbu sufinanciranja dijela programa javnih potreba u sportu državne razine koji se provode putem Hrvatskog olimpijskog odbora (HOO), Hrvatskog </w:t>
      </w:r>
      <w:proofErr w:type="spellStart"/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paraolimpijskog</w:t>
      </w:r>
      <w:proofErr w:type="spellEnd"/>
      <w:r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odbora (HPO), Hrvatskog sportskog saveza gluhih (HSSG), Hrvatskog akademskog sportskog saveza (HASS) i Hrvatskog školskog sportskog saveza (HŠSS) i za ulaganja u razvoj turističke infrastrukture s ciljem razvoja turističke infrastrukture i očuvanja turističke resursne osnove. </w:t>
      </w:r>
    </w:p>
    <w:p w:rsidR="005978A2" w:rsidRPr="005108B2" w:rsidRDefault="00C118D3" w:rsidP="00432729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Obveze</w:t>
      </w:r>
      <w:r w:rsidR="004E4168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na dan 31.12.202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3.godine</w:t>
      </w:r>
      <w:r w:rsidR="004E4168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iznose </w:t>
      </w:r>
      <w:r w:rsidR="005108B2" w:rsidRPr="005108B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5.666.701,74 </w:t>
      </w:r>
      <w:r w:rsidR="005108B2" w:rsidRPr="005108B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eura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4E4168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Dospjele obveze 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iznose </w:t>
      </w:r>
      <w:r w:rsidR="004E4168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709.930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eura.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Obveze</w:t>
      </w:r>
      <w:r w:rsidR="004E4168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na dan 30.</w:t>
      </w:r>
      <w:r w:rsidR="008B02B3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06.2024.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godine iznose </w:t>
      </w:r>
      <w:r w:rsidR="008B02B3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5.397.743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eura. </w:t>
      </w:r>
      <w:r w:rsidR="004E4168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Dospjele obveze 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iznose </w:t>
      </w:r>
      <w:r w:rsidR="004E4168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801.132</w:t>
      </w:r>
      <w:r w:rsidR="005108B2" w:rsidRPr="005108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eura.</w:t>
      </w:r>
    </w:p>
    <w:sectPr w:rsidR="005978A2" w:rsidRPr="005108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168"/>
    <w:rsid w:val="0009179D"/>
    <w:rsid w:val="001E7914"/>
    <w:rsid w:val="00432729"/>
    <w:rsid w:val="004E4168"/>
    <w:rsid w:val="005108B2"/>
    <w:rsid w:val="005978A2"/>
    <w:rsid w:val="008B02B3"/>
    <w:rsid w:val="00AF391D"/>
    <w:rsid w:val="00C118D3"/>
    <w:rsid w:val="00E82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E757E"/>
  <w15:chartTrackingRefBased/>
  <w15:docId w15:val="{72285A8E-BDF2-407A-BB53-18E3DF94D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309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839</Words>
  <Characters>4785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Gordana Koren</dc:creator>
  <cp:keywords/>
  <dc:description/>
  <cp:lastModifiedBy>Gordana Koren</cp:lastModifiedBy>
  <cp:revision>9</cp:revision>
  <dcterms:created xsi:type="dcterms:W3CDTF">2024-11-11T07:14:00Z</dcterms:created>
  <dcterms:modified xsi:type="dcterms:W3CDTF">2025-05-06T09:20:00Z</dcterms:modified>
</cp:coreProperties>
</file>